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ACAF" w14:textId="77777777" w:rsidR="00E65DAD" w:rsidRDefault="00E65DAD" w:rsidP="00343DE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</w:pPr>
    </w:p>
    <w:p w14:paraId="6FEB8011" w14:textId="77777777" w:rsidR="00E65DAD" w:rsidRDefault="00E65DAD" w:rsidP="00343DE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</w:pPr>
    </w:p>
    <w:p w14:paraId="2AFC7904" w14:textId="08E5B8B4" w:rsidR="00532022" w:rsidRPr="00AC6CF1" w:rsidRDefault="00D750A8" w:rsidP="00343DE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  <w:t>Lehrveranstaltungs</w:t>
      </w:r>
      <w:r w:rsidR="00AC6CF1" w:rsidRPr="00AC6CF1"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  <w:t>beschreibung</w:t>
      </w:r>
    </w:p>
    <w:p w14:paraId="32BB59E8" w14:textId="77777777" w:rsidR="00532022" w:rsidRPr="00AC6CF1" w:rsidRDefault="00532022" w:rsidP="00A5014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1. </w:t>
      </w:r>
      <w:r w:rsidR="00D750A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Angaben </w:t>
      </w:r>
      <w:r w:rsid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>zum Programm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076"/>
      </w:tblGrid>
      <w:tr w:rsidR="00532022" w:rsidRPr="00AC6CF1" w14:paraId="3DE5B622" w14:textId="77777777">
        <w:tc>
          <w:tcPr>
            <w:tcW w:w="2943" w:type="dxa"/>
          </w:tcPr>
          <w:p w14:paraId="5874EFBF" w14:textId="77777777" w:rsidR="00532022" w:rsidRPr="00AC6CF1" w:rsidRDefault="0053202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1.1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  <w:r w:rsidR="00AC6CF1"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ochschuleinrichtung</w:t>
            </w:r>
          </w:p>
        </w:tc>
        <w:tc>
          <w:tcPr>
            <w:tcW w:w="7076" w:type="dxa"/>
          </w:tcPr>
          <w:p w14:paraId="191E63C2" w14:textId="77777777" w:rsidR="00532022" w:rsidRPr="00AC6CF1" w:rsidRDefault="000A032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Babes-Bolyai- Universität</w:t>
            </w:r>
          </w:p>
        </w:tc>
      </w:tr>
      <w:tr w:rsidR="00532022" w:rsidRPr="00AC6CF1" w14:paraId="084409EB" w14:textId="77777777">
        <w:tc>
          <w:tcPr>
            <w:tcW w:w="2943" w:type="dxa"/>
          </w:tcPr>
          <w:p w14:paraId="30891A15" w14:textId="77777777" w:rsidR="00532022" w:rsidRPr="00AC6CF1" w:rsidRDefault="00532022" w:rsidP="00AC6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1.2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Fakultät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076" w:type="dxa"/>
          </w:tcPr>
          <w:p w14:paraId="16BA6868" w14:textId="77777777" w:rsidR="00532022" w:rsidRPr="00AC6CF1" w:rsidRDefault="000A032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Fakultät für Mathematik und Informatik</w:t>
            </w:r>
          </w:p>
        </w:tc>
      </w:tr>
      <w:tr w:rsidR="00532022" w:rsidRPr="00AC6CF1" w14:paraId="3B2C6E05" w14:textId="77777777">
        <w:tc>
          <w:tcPr>
            <w:tcW w:w="2943" w:type="dxa"/>
          </w:tcPr>
          <w:p w14:paraId="353D2F53" w14:textId="77777777" w:rsidR="00532022" w:rsidRPr="00AC6CF1" w:rsidRDefault="00AC6CF1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1.3 Department</w:t>
            </w:r>
          </w:p>
        </w:tc>
        <w:tc>
          <w:tcPr>
            <w:tcW w:w="7076" w:type="dxa"/>
          </w:tcPr>
          <w:p w14:paraId="074D4A6A" w14:textId="77777777" w:rsidR="00532022" w:rsidRPr="00AC6CF1" w:rsidRDefault="000A032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Department für Informatik</w:t>
            </w:r>
          </w:p>
        </w:tc>
      </w:tr>
      <w:tr w:rsidR="00532022" w:rsidRPr="00AC6CF1" w14:paraId="39D6C88E" w14:textId="77777777">
        <w:tc>
          <w:tcPr>
            <w:tcW w:w="2943" w:type="dxa"/>
          </w:tcPr>
          <w:p w14:paraId="3285816C" w14:textId="77777777" w:rsidR="00532022" w:rsidRPr="00AC6CF1" w:rsidRDefault="00532022" w:rsidP="00AC6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1.4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Fachgebiet</w:t>
            </w:r>
          </w:p>
        </w:tc>
        <w:tc>
          <w:tcPr>
            <w:tcW w:w="7076" w:type="dxa"/>
          </w:tcPr>
          <w:p w14:paraId="46C2CA46" w14:textId="77777777" w:rsidR="00532022" w:rsidRPr="00AC6CF1" w:rsidRDefault="000A032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Informatik</w:t>
            </w:r>
          </w:p>
        </w:tc>
      </w:tr>
      <w:tr w:rsidR="00532022" w:rsidRPr="00AC6CF1" w14:paraId="48CBAB63" w14:textId="77777777">
        <w:tc>
          <w:tcPr>
            <w:tcW w:w="2943" w:type="dxa"/>
          </w:tcPr>
          <w:p w14:paraId="7FD8C35A" w14:textId="77777777" w:rsidR="00532022" w:rsidRPr="00AC6CF1" w:rsidRDefault="00532022" w:rsidP="00AC6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1.5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Studienform</w:t>
            </w:r>
          </w:p>
        </w:tc>
        <w:tc>
          <w:tcPr>
            <w:tcW w:w="7076" w:type="dxa"/>
          </w:tcPr>
          <w:p w14:paraId="39CB56BF" w14:textId="77777777" w:rsidR="00532022" w:rsidRPr="00AC6CF1" w:rsidRDefault="007F43D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Bachelor</w:t>
            </w:r>
          </w:p>
        </w:tc>
      </w:tr>
      <w:tr w:rsidR="00532022" w:rsidRPr="00AC6CF1" w14:paraId="1D019FB3" w14:textId="77777777">
        <w:tc>
          <w:tcPr>
            <w:tcW w:w="2943" w:type="dxa"/>
          </w:tcPr>
          <w:p w14:paraId="487AD22D" w14:textId="77777777" w:rsidR="00532022" w:rsidRPr="00AC6CF1" w:rsidRDefault="00532022" w:rsidP="00AC6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1.6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Studiengang / Qualifikation</w:t>
            </w:r>
          </w:p>
        </w:tc>
        <w:tc>
          <w:tcPr>
            <w:tcW w:w="7076" w:type="dxa"/>
          </w:tcPr>
          <w:p w14:paraId="2ADDE0B1" w14:textId="77777777" w:rsidR="00532022" w:rsidRPr="00AC6CF1" w:rsidRDefault="007F43DE" w:rsidP="007F43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 in deutscher Sprache</w:t>
            </w:r>
          </w:p>
        </w:tc>
      </w:tr>
    </w:tbl>
    <w:p w14:paraId="62584EBF" w14:textId="77777777" w:rsidR="00532022" w:rsidRPr="00AC6CF1" w:rsidRDefault="00532022" w:rsidP="00A5014E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0D1E27B" w14:textId="77777777" w:rsidR="00532022" w:rsidRPr="00AC6CF1" w:rsidRDefault="00532022" w:rsidP="00A5014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2. </w:t>
      </w:r>
      <w:r w:rsidR="00D750A8">
        <w:rPr>
          <w:rFonts w:ascii="Times New Roman" w:hAnsi="Times New Roman" w:cs="Times New Roman"/>
          <w:b/>
          <w:bCs/>
          <w:sz w:val="24"/>
          <w:szCs w:val="24"/>
          <w:lang w:val="de-DE"/>
        </w:rPr>
        <w:t>Angaben</w:t>
      </w:r>
      <w:r w:rsid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zum Studienfach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675"/>
        <w:gridCol w:w="283"/>
        <w:gridCol w:w="993"/>
        <w:gridCol w:w="567"/>
        <w:gridCol w:w="141"/>
        <w:gridCol w:w="1814"/>
        <w:gridCol w:w="680"/>
        <w:gridCol w:w="2126"/>
        <w:gridCol w:w="741"/>
      </w:tblGrid>
      <w:tr w:rsidR="00532022" w:rsidRPr="00AC6CF1" w14:paraId="4898FBB7" w14:textId="77777777">
        <w:tc>
          <w:tcPr>
            <w:tcW w:w="2943" w:type="dxa"/>
            <w:gridSpan w:val="3"/>
          </w:tcPr>
          <w:p w14:paraId="3EEA7481" w14:textId="77777777" w:rsidR="00532022" w:rsidRPr="00AC6CF1" w:rsidRDefault="00532022" w:rsidP="00D750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2.1 </w:t>
            </w:r>
            <w:r w:rsidR="00D750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LV-B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ezeichnung</w:t>
            </w:r>
          </w:p>
        </w:tc>
        <w:tc>
          <w:tcPr>
            <w:tcW w:w="7062" w:type="dxa"/>
            <w:gridSpan w:val="7"/>
          </w:tcPr>
          <w:p w14:paraId="43846163" w14:textId="784C82C5" w:rsidR="00532022" w:rsidRPr="00AC6CF1" w:rsidRDefault="00904CA7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 als Kommunikationssprache in IT</w:t>
            </w:r>
            <w:r w:rsidR="00111A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9566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</w:p>
        </w:tc>
      </w:tr>
      <w:tr w:rsidR="00532022" w:rsidRPr="00AC6CF1" w14:paraId="204723FA" w14:textId="77777777">
        <w:tc>
          <w:tcPr>
            <w:tcW w:w="4503" w:type="dxa"/>
            <w:gridSpan w:val="5"/>
          </w:tcPr>
          <w:p w14:paraId="2FFD72C6" w14:textId="77777777" w:rsidR="00532022" w:rsidRPr="00AC6CF1" w:rsidRDefault="00532022" w:rsidP="00D750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2.2 </w:t>
            </w:r>
            <w:r w:rsidR="00D750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Lehr</w:t>
            </w:r>
            <w:r w:rsid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verantwortlich</w:t>
            </w:r>
            <w:r w:rsidR="00D750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  <w:r w:rsid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– Vorlesung</w:t>
            </w:r>
          </w:p>
        </w:tc>
        <w:tc>
          <w:tcPr>
            <w:tcW w:w="5502" w:type="dxa"/>
            <w:gridSpan w:val="5"/>
          </w:tcPr>
          <w:p w14:paraId="2928E0DC" w14:textId="77777777" w:rsidR="00532022" w:rsidRPr="00AC6CF1" w:rsidRDefault="0053202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32022" w:rsidRPr="000A032E" w14:paraId="5F50E719" w14:textId="77777777">
        <w:tc>
          <w:tcPr>
            <w:tcW w:w="4503" w:type="dxa"/>
            <w:gridSpan w:val="5"/>
          </w:tcPr>
          <w:p w14:paraId="643BEF4E" w14:textId="77777777" w:rsidR="00532022" w:rsidRPr="00AC6CF1" w:rsidRDefault="00532022" w:rsidP="00F373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2.3 </w:t>
            </w:r>
            <w:r w:rsidR="00D750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Lehrverantwortlicher </w:t>
            </w:r>
            <w:r w:rsid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– Seminar</w:t>
            </w:r>
          </w:p>
        </w:tc>
        <w:tc>
          <w:tcPr>
            <w:tcW w:w="5502" w:type="dxa"/>
            <w:gridSpan w:val="5"/>
          </w:tcPr>
          <w:p w14:paraId="6A587A18" w14:textId="4655FC1A" w:rsidR="00532022" w:rsidRPr="000A032E" w:rsidRDefault="0095661D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Lekt.</w:t>
            </w:r>
            <w:r w:rsidR="00904CA7" w:rsidRPr="000A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Dr. Maria Parasca</w:t>
            </w:r>
          </w:p>
        </w:tc>
      </w:tr>
      <w:tr w:rsidR="00060F66" w:rsidRPr="00AC6CF1" w14:paraId="74776DA9" w14:textId="77777777">
        <w:tc>
          <w:tcPr>
            <w:tcW w:w="1985" w:type="dxa"/>
          </w:tcPr>
          <w:p w14:paraId="3DBE9801" w14:textId="77777777" w:rsidR="00532022" w:rsidRPr="00AC6CF1" w:rsidRDefault="00532022" w:rsidP="00F37318">
            <w:pPr>
              <w:spacing w:after="0"/>
              <w:ind w:right="-18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2.4 </w:t>
            </w:r>
            <w:r w:rsid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Studienjahr</w:t>
            </w:r>
          </w:p>
        </w:tc>
        <w:tc>
          <w:tcPr>
            <w:tcW w:w="675" w:type="dxa"/>
          </w:tcPr>
          <w:p w14:paraId="53DA23BF" w14:textId="77777777" w:rsidR="00532022" w:rsidRPr="00AC6CF1" w:rsidRDefault="00904CA7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</w:p>
        </w:tc>
        <w:tc>
          <w:tcPr>
            <w:tcW w:w="1276" w:type="dxa"/>
            <w:gridSpan w:val="2"/>
          </w:tcPr>
          <w:p w14:paraId="729A37DE" w14:textId="77777777" w:rsidR="00532022" w:rsidRPr="00AC6CF1" w:rsidRDefault="00F37318" w:rsidP="00A5014E">
            <w:pPr>
              <w:spacing w:after="0"/>
              <w:ind w:left="-82" w:right="-16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2.5 Semester</w:t>
            </w:r>
          </w:p>
        </w:tc>
        <w:tc>
          <w:tcPr>
            <w:tcW w:w="708" w:type="dxa"/>
            <w:gridSpan w:val="2"/>
          </w:tcPr>
          <w:p w14:paraId="215E258E" w14:textId="77777777" w:rsidR="00532022" w:rsidRPr="00AC6CF1" w:rsidRDefault="00904CA7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814" w:type="dxa"/>
          </w:tcPr>
          <w:p w14:paraId="33D36D43" w14:textId="77777777" w:rsidR="00532022" w:rsidRPr="00AC6CF1" w:rsidRDefault="00532022" w:rsidP="00F37318">
            <w:pPr>
              <w:spacing w:after="0"/>
              <w:ind w:left="-82" w:right="-16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2.6. </w:t>
            </w:r>
            <w:r w:rsidR="00F37318" w:rsidRP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Prüfungsform</w:t>
            </w:r>
          </w:p>
        </w:tc>
        <w:tc>
          <w:tcPr>
            <w:tcW w:w="680" w:type="dxa"/>
          </w:tcPr>
          <w:p w14:paraId="5113716A" w14:textId="77777777" w:rsidR="00532022" w:rsidRPr="00AC6CF1" w:rsidRDefault="0053202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</w:tcPr>
          <w:p w14:paraId="71F2D3AF" w14:textId="77777777" w:rsidR="00532022" w:rsidRPr="00AC6CF1" w:rsidRDefault="00532022" w:rsidP="00AF0CFB">
            <w:pPr>
              <w:spacing w:after="0"/>
              <w:ind w:left="-38" w:right="-13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2.7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Art der LV</w:t>
            </w:r>
          </w:p>
        </w:tc>
        <w:tc>
          <w:tcPr>
            <w:tcW w:w="741" w:type="dxa"/>
          </w:tcPr>
          <w:p w14:paraId="0BAFDB29" w14:textId="77777777" w:rsidR="00532022" w:rsidRPr="00AC6CF1" w:rsidRDefault="0053202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24B6EE52" w14:textId="77777777" w:rsidR="00532022" w:rsidRPr="00AC6CF1" w:rsidRDefault="00532022" w:rsidP="00A5014E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18E1986F" w14:textId="77777777" w:rsidR="00532022" w:rsidRPr="00AC6CF1" w:rsidRDefault="00532022" w:rsidP="00A5014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3. </w:t>
      </w:r>
      <w:r w:rsidR="00D750A8" w:rsidRP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Geschätzter </w:t>
      </w:r>
      <w:r w:rsidR="00AF0CFB" w:rsidRP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>Workload in Stunden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265"/>
        <w:gridCol w:w="703"/>
      </w:tblGrid>
      <w:tr w:rsidR="00532022" w:rsidRPr="00AC6CF1" w14:paraId="6B5FA7D7" w14:textId="77777777">
        <w:tc>
          <w:tcPr>
            <w:tcW w:w="3790" w:type="dxa"/>
          </w:tcPr>
          <w:p w14:paraId="21A1893B" w14:textId="77777777" w:rsidR="00532022" w:rsidRPr="00AC6CF1" w:rsidRDefault="00532022" w:rsidP="00060F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3.1 </w:t>
            </w:r>
            <w:r w:rsidR="00060F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SWS</w:t>
            </w:r>
          </w:p>
        </w:tc>
        <w:tc>
          <w:tcPr>
            <w:tcW w:w="574" w:type="dxa"/>
            <w:gridSpan w:val="2"/>
          </w:tcPr>
          <w:p w14:paraId="4D1A6B08" w14:textId="7195083F" w:rsidR="00532022" w:rsidRPr="00AC6CF1" w:rsidRDefault="007E4F5F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  <w:tc>
          <w:tcPr>
            <w:tcW w:w="2102" w:type="dxa"/>
            <w:gridSpan w:val="2"/>
          </w:tcPr>
          <w:p w14:paraId="09890081" w14:textId="77777777" w:rsidR="00532022" w:rsidRPr="00AC6CF1" w:rsidRDefault="00060F66" w:rsidP="00A5014E">
            <w:pPr>
              <w:spacing w:after="0"/>
              <w:ind w:right="-18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von denen: 3.2 Vorlesung</w:t>
            </w:r>
          </w:p>
        </w:tc>
        <w:tc>
          <w:tcPr>
            <w:tcW w:w="591" w:type="dxa"/>
          </w:tcPr>
          <w:p w14:paraId="67E50C3C" w14:textId="2DB4C2EB" w:rsidR="00532022" w:rsidRPr="00AC6CF1" w:rsidRDefault="007E4F5F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2265" w:type="dxa"/>
          </w:tcPr>
          <w:p w14:paraId="59133C8D" w14:textId="77777777" w:rsidR="00532022" w:rsidRPr="00AC6CF1" w:rsidRDefault="00532022" w:rsidP="00060F66">
            <w:pPr>
              <w:spacing w:after="0"/>
              <w:ind w:right="-17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3.3 </w:t>
            </w:r>
            <w:r w:rsidR="00060F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Seminar/Übung</w:t>
            </w:r>
          </w:p>
        </w:tc>
        <w:tc>
          <w:tcPr>
            <w:tcW w:w="703" w:type="dxa"/>
          </w:tcPr>
          <w:p w14:paraId="5206D67F" w14:textId="288D6DD5" w:rsidR="00532022" w:rsidRPr="00AC6CF1" w:rsidRDefault="007E4F5F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</w:tr>
      <w:tr w:rsidR="00532022" w:rsidRPr="00AC6CF1" w14:paraId="43FAA2BF" w14:textId="77777777">
        <w:tc>
          <w:tcPr>
            <w:tcW w:w="3790" w:type="dxa"/>
            <w:shd w:val="clear" w:color="auto" w:fill="D9D9D9"/>
          </w:tcPr>
          <w:p w14:paraId="4FB6DDEA" w14:textId="77777777" w:rsidR="00532022" w:rsidRPr="00AC6CF1" w:rsidRDefault="00532022" w:rsidP="00060F66">
            <w:pPr>
              <w:spacing w:after="0"/>
              <w:ind w:right="-192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3.4 </w:t>
            </w:r>
            <w:r w:rsidR="00060F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Gesamte Stundenanzahl im Lehrplan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356C28C2" w14:textId="72DD4534" w:rsidR="00532022" w:rsidRPr="00AC6CF1" w:rsidRDefault="007E4F5F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116470A6" w14:textId="77777777" w:rsidR="00532022" w:rsidRPr="00AC6CF1" w:rsidRDefault="00060F66" w:rsidP="00060F66">
            <w:pPr>
              <w:spacing w:after="0"/>
              <w:ind w:right="-17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von denen</w:t>
            </w:r>
            <w:r w:rsidR="00532022"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3.5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Vorlesung</w:t>
            </w:r>
          </w:p>
        </w:tc>
        <w:tc>
          <w:tcPr>
            <w:tcW w:w="591" w:type="dxa"/>
            <w:shd w:val="clear" w:color="auto" w:fill="D9D9D9"/>
          </w:tcPr>
          <w:p w14:paraId="55423F6F" w14:textId="0AA681EC" w:rsidR="00532022" w:rsidRPr="00AC6CF1" w:rsidRDefault="007E4F5F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2265" w:type="dxa"/>
            <w:shd w:val="clear" w:color="auto" w:fill="D9D9D9"/>
          </w:tcPr>
          <w:p w14:paraId="698868D4" w14:textId="77777777" w:rsidR="00532022" w:rsidRPr="00AC6CF1" w:rsidRDefault="00532022" w:rsidP="00A5014E">
            <w:pPr>
              <w:spacing w:after="0"/>
              <w:ind w:right="-12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3.6 </w:t>
            </w:r>
            <w:r w:rsidR="00060F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Seminar/Übung</w:t>
            </w:r>
          </w:p>
        </w:tc>
        <w:tc>
          <w:tcPr>
            <w:tcW w:w="703" w:type="dxa"/>
            <w:shd w:val="clear" w:color="auto" w:fill="D9D9D9"/>
          </w:tcPr>
          <w:p w14:paraId="312A6F3F" w14:textId="30265E08" w:rsidR="00532022" w:rsidRPr="00AC6CF1" w:rsidRDefault="007E4F5F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</w:tr>
      <w:tr w:rsidR="00532022" w:rsidRPr="00AC6CF1" w14:paraId="0A929DD3" w14:textId="77777777">
        <w:tc>
          <w:tcPr>
            <w:tcW w:w="9322" w:type="dxa"/>
            <w:gridSpan w:val="7"/>
          </w:tcPr>
          <w:p w14:paraId="01425195" w14:textId="77777777" w:rsidR="00532022" w:rsidRPr="00AC6CF1" w:rsidRDefault="00060F66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Verteilung der Studienzeit</w:t>
            </w:r>
            <w:r w:rsidR="00532022"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703" w:type="dxa"/>
          </w:tcPr>
          <w:p w14:paraId="68406C96" w14:textId="77777777" w:rsidR="00532022" w:rsidRPr="00AC6CF1" w:rsidRDefault="00060F66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Std.</w:t>
            </w:r>
          </w:p>
        </w:tc>
      </w:tr>
      <w:tr w:rsidR="0095661D" w:rsidRPr="00AC6CF1" w14:paraId="37992308" w14:textId="77777777">
        <w:tc>
          <w:tcPr>
            <w:tcW w:w="9322" w:type="dxa"/>
            <w:gridSpan w:val="7"/>
          </w:tcPr>
          <w:p w14:paraId="35BD52BD" w14:textId="77777777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Studium nach Handbücher, Kursbuch, Bibliografie und Mitschriften</w:t>
            </w:r>
          </w:p>
        </w:tc>
        <w:tc>
          <w:tcPr>
            <w:tcW w:w="703" w:type="dxa"/>
          </w:tcPr>
          <w:p w14:paraId="3B1BE125" w14:textId="2200E87F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5661D" w:rsidRPr="00AC6CF1" w14:paraId="51464909" w14:textId="77777777">
        <w:tc>
          <w:tcPr>
            <w:tcW w:w="9322" w:type="dxa"/>
            <w:gridSpan w:val="7"/>
          </w:tcPr>
          <w:p w14:paraId="08E1B48A" w14:textId="77777777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Zusätzliche Vorbereitung in der Bibliothek, auf elektronischen Fachplattformen und durch Feldforschung</w:t>
            </w:r>
          </w:p>
        </w:tc>
        <w:tc>
          <w:tcPr>
            <w:tcW w:w="703" w:type="dxa"/>
          </w:tcPr>
          <w:p w14:paraId="55D7C250" w14:textId="17E413F3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661D" w:rsidRPr="00AC6CF1" w14:paraId="03D962D3" w14:textId="77777777">
        <w:tc>
          <w:tcPr>
            <w:tcW w:w="9322" w:type="dxa"/>
            <w:gridSpan w:val="7"/>
          </w:tcPr>
          <w:p w14:paraId="106CAD2C" w14:textId="77777777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Vorbereitung von Seminaren/Übungen, Präsentationen, Referate, Portfolios und Essays</w:t>
            </w:r>
          </w:p>
        </w:tc>
        <w:tc>
          <w:tcPr>
            <w:tcW w:w="703" w:type="dxa"/>
          </w:tcPr>
          <w:p w14:paraId="343C2EBA" w14:textId="23DE1384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5661D" w:rsidRPr="00AC6CF1" w14:paraId="5DECCE96" w14:textId="77777777">
        <w:tc>
          <w:tcPr>
            <w:tcW w:w="9322" w:type="dxa"/>
            <w:gridSpan w:val="7"/>
          </w:tcPr>
          <w:p w14:paraId="45B0F68B" w14:textId="77777777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Tutorien</w:t>
            </w:r>
          </w:p>
        </w:tc>
        <w:tc>
          <w:tcPr>
            <w:tcW w:w="703" w:type="dxa"/>
          </w:tcPr>
          <w:p w14:paraId="30EF0DAF" w14:textId="199F7850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661D" w:rsidRPr="00AC6CF1" w14:paraId="7E831F8C" w14:textId="77777777">
        <w:tc>
          <w:tcPr>
            <w:tcW w:w="9322" w:type="dxa"/>
            <w:gridSpan w:val="7"/>
          </w:tcPr>
          <w:p w14:paraId="60BE2C6D" w14:textId="77777777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Prüfungen</w:t>
            </w:r>
          </w:p>
        </w:tc>
        <w:tc>
          <w:tcPr>
            <w:tcW w:w="703" w:type="dxa"/>
          </w:tcPr>
          <w:p w14:paraId="7ABB4CED" w14:textId="15D741DF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5661D" w:rsidRPr="00AC6CF1" w14:paraId="48BE2CD6" w14:textId="77777777">
        <w:tc>
          <w:tcPr>
            <w:tcW w:w="9322" w:type="dxa"/>
            <w:gridSpan w:val="7"/>
          </w:tcPr>
          <w:p w14:paraId="075E3D04" w14:textId="77777777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Andere Tätigkeiten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 ..................</w:t>
            </w:r>
          </w:p>
        </w:tc>
        <w:tc>
          <w:tcPr>
            <w:tcW w:w="703" w:type="dxa"/>
          </w:tcPr>
          <w:p w14:paraId="45577F5F" w14:textId="77777777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5661D" w:rsidRPr="00AC6CF1" w14:paraId="3518587F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42CAF8F7" w14:textId="77777777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3.7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Gesamtstundenanzahl Selbststudium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7FBDF2CB" w14:textId="6C246DCB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95661D" w:rsidRPr="00AC6CF1" w14:paraId="7C7ED221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0207D8A2" w14:textId="77777777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3.8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Gesamtstundenanzahl / Semester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20E5FD3" w14:textId="4C94F1C4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95661D" w:rsidRPr="00AC6CF1" w14:paraId="44FE90D8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285040D5" w14:textId="77777777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3.9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Leistungspunkte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29D3FF86" w14:textId="090BD123" w:rsidR="0095661D" w:rsidRPr="00AC6CF1" w:rsidRDefault="0095661D" w:rsidP="00956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75078E26" w14:textId="77777777" w:rsidR="00532022" w:rsidRPr="00AC6CF1" w:rsidRDefault="00532022" w:rsidP="00A5014E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3DE54649" w14:textId="77777777" w:rsidR="00532022" w:rsidRPr="00AC6CF1" w:rsidRDefault="00532022" w:rsidP="00A5014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4. </w:t>
      </w:r>
      <w:r w:rsid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>Voraussetzungen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AF0CFB">
        <w:rPr>
          <w:rFonts w:ascii="Times New Roman" w:hAnsi="Times New Roman" w:cs="Times New Roman"/>
          <w:sz w:val="24"/>
          <w:szCs w:val="24"/>
          <w:lang w:val="de-DE"/>
        </w:rPr>
        <w:t>falls zutreffend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532022" w:rsidRPr="00AC6CF1" w14:paraId="51B3FEFA" w14:textId="77777777">
        <w:tc>
          <w:tcPr>
            <w:tcW w:w="2988" w:type="dxa"/>
          </w:tcPr>
          <w:p w14:paraId="1FC62960" w14:textId="77777777" w:rsidR="00532022" w:rsidRPr="00AC6CF1" w:rsidRDefault="00532022" w:rsidP="00AF0C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4.1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curricular</w:t>
            </w:r>
          </w:p>
        </w:tc>
        <w:tc>
          <w:tcPr>
            <w:tcW w:w="7694" w:type="dxa"/>
          </w:tcPr>
          <w:p w14:paraId="102E0CF6" w14:textId="77777777" w:rsidR="00532022" w:rsidRPr="00AC6CF1" w:rsidRDefault="00904CA7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Deutschkurse - Allgemeinsprache</w:t>
            </w:r>
          </w:p>
        </w:tc>
      </w:tr>
      <w:tr w:rsidR="00532022" w:rsidRPr="00AC6CF1" w14:paraId="73E56CE3" w14:textId="77777777">
        <w:tc>
          <w:tcPr>
            <w:tcW w:w="2988" w:type="dxa"/>
          </w:tcPr>
          <w:p w14:paraId="01498CD9" w14:textId="77777777" w:rsidR="00532022" w:rsidRPr="00AC6CF1" w:rsidRDefault="00532022" w:rsidP="00AF0C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4.2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kompetenzbezogen</w:t>
            </w:r>
          </w:p>
        </w:tc>
        <w:tc>
          <w:tcPr>
            <w:tcW w:w="7694" w:type="dxa"/>
          </w:tcPr>
          <w:p w14:paraId="7DAD1401" w14:textId="77777777" w:rsidR="00532022" w:rsidRPr="00AC6CF1" w:rsidRDefault="00904CA7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Mindestens Niveau A2 gemäß GER</w:t>
            </w:r>
          </w:p>
        </w:tc>
      </w:tr>
    </w:tbl>
    <w:p w14:paraId="438F35E1" w14:textId="77777777" w:rsidR="00532022" w:rsidRPr="00AC6CF1" w:rsidRDefault="00532022" w:rsidP="00A5014E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6812C47D" w14:textId="77777777" w:rsidR="00532022" w:rsidRPr="00AC6CF1" w:rsidRDefault="00532022" w:rsidP="00A5014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5. </w:t>
      </w:r>
      <w:r w:rsid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>Bedingungen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AF0CFB">
        <w:rPr>
          <w:rFonts w:ascii="Times New Roman" w:hAnsi="Times New Roman" w:cs="Times New Roman"/>
          <w:sz w:val="24"/>
          <w:szCs w:val="24"/>
          <w:lang w:val="de-DE"/>
        </w:rPr>
        <w:t>falls zutreffend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532022" w:rsidRPr="00AC6CF1" w14:paraId="2700125F" w14:textId="77777777">
        <w:tc>
          <w:tcPr>
            <w:tcW w:w="2988" w:type="dxa"/>
          </w:tcPr>
          <w:p w14:paraId="3308E1C0" w14:textId="77777777" w:rsidR="00532022" w:rsidRPr="00AC6CF1" w:rsidRDefault="00532022" w:rsidP="00AF0C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5.1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zur Durchführung der Vorlesung</w:t>
            </w:r>
          </w:p>
        </w:tc>
        <w:tc>
          <w:tcPr>
            <w:tcW w:w="7694" w:type="dxa"/>
          </w:tcPr>
          <w:p w14:paraId="76C963A1" w14:textId="77777777" w:rsidR="00532022" w:rsidRPr="00AC6CF1" w:rsidRDefault="00904CA7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Vorlesungsraum mit Beamer</w:t>
            </w:r>
          </w:p>
        </w:tc>
      </w:tr>
      <w:tr w:rsidR="00532022" w:rsidRPr="00AC6CF1" w14:paraId="1468BBAA" w14:textId="77777777">
        <w:tc>
          <w:tcPr>
            <w:tcW w:w="2988" w:type="dxa"/>
          </w:tcPr>
          <w:p w14:paraId="48CD9C28" w14:textId="77777777" w:rsidR="00532022" w:rsidRPr="00AC6CF1" w:rsidRDefault="00532022" w:rsidP="00450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5.2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zur Durchführung des Seminars / der Übung</w:t>
            </w:r>
          </w:p>
        </w:tc>
        <w:tc>
          <w:tcPr>
            <w:tcW w:w="7694" w:type="dxa"/>
          </w:tcPr>
          <w:p w14:paraId="12EC759D" w14:textId="77777777" w:rsidR="00532022" w:rsidRPr="00AC6CF1" w:rsidRDefault="00532022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10F42202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0C95184" w14:textId="389D1299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6. </w:t>
      </w:r>
      <w:r w:rsid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>Spezifische erworbene Kompetenzen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674"/>
      </w:tblGrid>
      <w:tr w:rsidR="00532022" w:rsidRPr="00AC6CF1" w14:paraId="2B842DB5" w14:textId="77777777">
        <w:trPr>
          <w:cantSplit/>
          <w:trHeight w:val="2872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14:paraId="4648DD90" w14:textId="77777777" w:rsidR="00532022" w:rsidRPr="00AC6CF1" w:rsidRDefault="00AF0CFB" w:rsidP="00450A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Berufliche Kompetenzen</w:t>
            </w:r>
          </w:p>
        </w:tc>
        <w:tc>
          <w:tcPr>
            <w:tcW w:w="9674" w:type="dxa"/>
            <w:shd w:val="clear" w:color="auto" w:fill="D9D9D9"/>
          </w:tcPr>
          <w:p w14:paraId="7468C862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Effizienter Einsatz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der 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für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die IT-Fachsprache spezifischen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Lexik- 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und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Grammatiks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trukturen in der IT-Kommunikation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72DC528E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Effiziente Berufskommunikation mittels Deutsch als Kommunikationssprache im IT-Bereich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095814A4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Verstehen und Verarbeitung verschiedener Arten von schriftlichen und mündlichen Mitteilungen in deutscher IT-Fachsprache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131C7F38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Leseverstehen und Informationsverarbeitung aus verschiedenen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für den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IT-Bereich spezifischen geschriebenen Texte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47493E31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Identifikation von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Haltungen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und Meinungen beim Hören verschiedener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für den IT-Bereich spezifischer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Texte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5FE3B624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Hörverstehen bestätigen und nachweisen können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3DCF62D6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Einleitung und Durchführung von Gesprächen in deutscher Sprache zu verschiedenen dem Alltag oder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dem Berufsumfeld 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spezifischen Themen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580F8AD3" w14:textId="77777777" w:rsidR="005E4F98" w:rsidRDefault="009B3B63" w:rsidP="005E4F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Adäquater schriftlicher und mündlicher Ausdruck von Einstellungen und Meinungen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674DADBF" w14:textId="77777777" w:rsidR="005E4F98" w:rsidRDefault="009B3B63" w:rsidP="005E4F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Anpassung des mündlichen Ausdrucks an den Gesprächspartner/das Publikum (formeller/informeller Kommunikationsstil)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; </w:t>
            </w:r>
          </w:p>
          <w:p w14:paraId="2A0F6436" w14:textId="77777777" w:rsidR="00532022" w:rsidRPr="00AC6CF1" w:rsidRDefault="009B3B63" w:rsidP="005E4F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Schriftliche Zusammenfassung gelesener oder gehörter Informationen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</w:tc>
      </w:tr>
      <w:tr w:rsidR="00532022" w:rsidRPr="00AC6CF1" w14:paraId="4D43EFB5" w14:textId="77777777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14:paraId="08DA342D" w14:textId="77777777" w:rsidR="00532022" w:rsidRPr="00AC6CF1" w:rsidRDefault="00AF0CFB" w:rsidP="00450A21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Transversale Kompetenzen</w:t>
            </w:r>
          </w:p>
        </w:tc>
        <w:tc>
          <w:tcPr>
            <w:tcW w:w="9674" w:type="dxa"/>
            <w:shd w:val="clear" w:color="auto" w:fill="D9D9D9"/>
          </w:tcPr>
          <w:p w14:paraId="36105766" w14:textId="77777777" w:rsidR="009B3B63" w:rsidRPr="00782D06" w:rsidRDefault="009B3B63" w:rsidP="005E4F98">
            <w:pPr>
              <w:numPr>
                <w:ilvl w:val="0"/>
                <w:numId w:val="8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Bewusst werden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und effizienter Einsatz kultureller Aspekte, die die IT-Kommunikation in internationalen Kommunikationskontexten steuern und beeinflussen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2BF5AE9C" w14:textId="77777777" w:rsidR="009B3B63" w:rsidRPr="00782D06" w:rsidRDefault="009B3B63" w:rsidP="009B3B63">
            <w:pPr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Entwicklung der interkulturellen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Kompetenz, die wichtig für die effiziente Zusammenarbeit mit Personen aus verschiedenen Kulturen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ist;</w:t>
            </w:r>
          </w:p>
          <w:p w14:paraId="0B386640" w14:textId="77777777" w:rsidR="00532022" w:rsidRPr="00F7631A" w:rsidRDefault="009B3B63" w:rsidP="00F7631A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Entwicklung der Fähigkeit die Qualität de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 Kommunikation in verschiedenen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Kontexten zu analysieren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und darüber zu reflektieren;</w:t>
            </w:r>
          </w:p>
          <w:p w14:paraId="0DB754FC" w14:textId="77777777" w:rsidR="00F7631A" w:rsidRPr="00F7631A" w:rsidRDefault="00F7631A" w:rsidP="00F7631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631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Analyse von Fallstudien über Wirtschaftsbeteiligte, die kritische Reflexion, Synthesefähigkeit, Problemlösungsvermögen usw. voraussetzen.</w:t>
            </w:r>
          </w:p>
        </w:tc>
      </w:tr>
    </w:tbl>
    <w:p w14:paraId="424FDA61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C799D19" w14:textId="77777777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7. </w:t>
      </w:r>
      <w:r w:rsidR="007215DB">
        <w:rPr>
          <w:rFonts w:ascii="Times New Roman" w:hAnsi="Times New Roman" w:cs="Times New Roman"/>
          <w:b/>
          <w:bCs/>
          <w:sz w:val="24"/>
          <w:szCs w:val="24"/>
          <w:lang w:val="de-DE"/>
        </w:rPr>
        <w:t>Ziele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7215DB">
        <w:rPr>
          <w:rFonts w:ascii="Times New Roman" w:hAnsi="Times New Roman" w:cs="Times New Roman"/>
          <w:sz w:val="24"/>
          <w:szCs w:val="24"/>
          <w:lang w:val="de-DE"/>
        </w:rPr>
        <w:t>entsprechend der erworbenen Kompetenzen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532022" w:rsidRPr="00AC6CF1" w14:paraId="41664AB0" w14:textId="77777777">
        <w:tc>
          <w:tcPr>
            <w:tcW w:w="2988" w:type="dxa"/>
            <w:shd w:val="clear" w:color="auto" w:fill="D9D9D9"/>
          </w:tcPr>
          <w:p w14:paraId="308C841A" w14:textId="77777777" w:rsidR="00532022" w:rsidRPr="00AC6CF1" w:rsidRDefault="00532022" w:rsidP="007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7.1 </w:t>
            </w:r>
            <w:r w:rsid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Allgemeine Ziele der Lehrveranstaltung</w:t>
            </w:r>
          </w:p>
        </w:tc>
        <w:tc>
          <w:tcPr>
            <w:tcW w:w="7694" w:type="dxa"/>
            <w:shd w:val="clear" w:color="auto" w:fill="D9D9D9"/>
          </w:tcPr>
          <w:p w14:paraId="19B49FE1" w14:textId="77777777" w:rsidR="00532022" w:rsidRPr="00AC6CF1" w:rsidRDefault="009B3B63" w:rsidP="004F0D1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den Studenten zu helfen, über Wichtigkeit der Kommunikation in deutscher Sprache und der Wirkung der kulturellen Faktoren auf die menschliche Kommunikation bewusst zu werde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 und derer Kommunikationsfähig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keiten, sowohl in der schriftlichen als auch in der mündlichen Kommunikation in den für den IT-Bereich spezifischen Kommunikationskontexten zu verbessern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</w:tc>
      </w:tr>
      <w:tr w:rsidR="00532022" w:rsidRPr="00AC6CF1" w14:paraId="09D61334" w14:textId="77777777">
        <w:tc>
          <w:tcPr>
            <w:tcW w:w="2988" w:type="dxa"/>
            <w:shd w:val="clear" w:color="auto" w:fill="D9D9D9"/>
          </w:tcPr>
          <w:p w14:paraId="0C4C1483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7.2 </w:t>
            </w:r>
            <w:r w:rsid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Spezifische  Ziele der Lehrveranstaltung</w:t>
            </w:r>
          </w:p>
          <w:p w14:paraId="5DBB9F82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1E327BB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277DAD3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B12725F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DBA8D50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8CBE9FE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94" w:type="dxa"/>
            <w:shd w:val="clear" w:color="auto" w:fill="D9D9D9"/>
          </w:tcPr>
          <w:p w14:paraId="61DC6407" w14:textId="77777777" w:rsidR="009B3B63" w:rsidRPr="00782D06" w:rsidRDefault="009B3B63" w:rsidP="009B3B63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sich für den IT-Bereich spezifische lexikalische und grammatikalische Strukturen aneignen, die die Voraussetzung einer effizienten Kommunikation in IT-Bereich darstellen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5EF64791" w14:textId="77777777" w:rsidR="009B3B63" w:rsidRPr="00782D06" w:rsidRDefault="009B3B63" w:rsidP="009B3B63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sich für eine effiziente Kommunikation in IT-Bereich spezifische Kommunikationstechniken und –Strategien aneignen und 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diese 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 der Kommunikationspraxis anwenden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29247C84" w14:textId="77777777" w:rsidR="009B3B63" w:rsidRPr="00782D06" w:rsidRDefault="009B3B63" w:rsidP="009B3B63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effiziente Organisationsmethoden in der mündlichen und schriftlichen Kommunikation anwenden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77C98A93" w14:textId="77777777" w:rsidR="00532022" w:rsidRPr="00AC6CF1" w:rsidRDefault="009B3B63" w:rsidP="004F0D1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grundsätzliche mündliche und schrif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tliche Kommunikationskompetenzen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in deutscher IT-Fachsprache entwicklen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</w:tc>
      </w:tr>
    </w:tbl>
    <w:p w14:paraId="74AB77A5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119F943" w14:textId="77777777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8. </w:t>
      </w:r>
      <w:r w:rsidR="007215DB">
        <w:rPr>
          <w:rFonts w:ascii="Times New Roman" w:hAnsi="Times New Roman" w:cs="Times New Roman"/>
          <w:b/>
          <w:bCs/>
          <w:sz w:val="24"/>
          <w:szCs w:val="24"/>
          <w:lang w:val="de-DE"/>
        </w:rPr>
        <w:t>Inhalt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062"/>
        <w:gridCol w:w="2834"/>
      </w:tblGrid>
      <w:tr w:rsidR="00532022" w:rsidRPr="00AC6CF1" w14:paraId="78B4A47E" w14:textId="77777777">
        <w:tc>
          <w:tcPr>
            <w:tcW w:w="4786" w:type="dxa"/>
            <w:shd w:val="clear" w:color="auto" w:fill="D9D9D9"/>
          </w:tcPr>
          <w:p w14:paraId="0C7C7727" w14:textId="77777777" w:rsidR="00532022" w:rsidRPr="00AC6CF1" w:rsidRDefault="00532022" w:rsidP="007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8.1 </w:t>
            </w:r>
            <w:r w:rsid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Vorlesung</w:t>
            </w:r>
          </w:p>
        </w:tc>
        <w:tc>
          <w:tcPr>
            <w:tcW w:w="3062" w:type="dxa"/>
          </w:tcPr>
          <w:p w14:paraId="1DF3D7BB" w14:textId="77777777" w:rsidR="00532022" w:rsidRPr="00AC6CF1" w:rsidRDefault="00761A1B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Lehr- und</w:t>
            </w:r>
            <w:r w:rsidR="007215DB" w:rsidRP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Lernmethode</w:t>
            </w:r>
          </w:p>
        </w:tc>
        <w:tc>
          <w:tcPr>
            <w:tcW w:w="2834" w:type="dxa"/>
          </w:tcPr>
          <w:p w14:paraId="2EA7DC21" w14:textId="77777777" w:rsidR="00532022" w:rsidRPr="00AC6CF1" w:rsidRDefault="007215DB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Anmerkungen</w:t>
            </w:r>
          </w:p>
        </w:tc>
      </w:tr>
      <w:tr w:rsidR="00532022" w:rsidRPr="00AC6CF1" w14:paraId="02259E6E" w14:textId="77777777">
        <w:tc>
          <w:tcPr>
            <w:tcW w:w="10682" w:type="dxa"/>
            <w:gridSpan w:val="3"/>
            <w:shd w:val="clear" w:color="auto" w:fill="D9D9D9"/>
          </w:tcPr>
          <w:p w14:paraId="4517730E" w14:textId="77777777" w:rsidR="00904CA7" w:rsidRPr="00904CA7" w:rsidRDefault="007215DB" w:rsidP="00904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Literatur</w:t>
            </w:r>
          </w:p>
          <w:p w14:paraId="2FA5AE8A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7215DB" w:rsidRPr="00AC6CF1" w14:paraId="4126BFCE" w14:textId="77777777">
        <w:tc>
          <w:tcPr>
            <w:tcW w:w="4786" w:type="dxa"/>
            <w:shd w:val="clear" w:color="auto" w:fill="D9D9D9"/>
          </w:tcPr>
          <w:p w14:paraId="783BA192" w14:textId="77777777" w:rsidR="007215DB" w:rsidRPr="00AC6CF1" w:rsidRDefault="007215DB" w:rsidP="007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8.2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Seminar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Übung</w:t>
            </w:r>
          </w:p>
        </w:tc>
        <w:tc>
          <w:tcPr>
            <w:tcW w:w="3062" w:type="dxa"/>
          </w:tcPr>
          <w:p w14:paraId="22B2666A" w14:textId="77777777" w:rsidR="007215DB" w:rsidRPr="00AC6CF1" w:rsidRDefault="00761A1B" w:rsidP="0076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Lehr- und</w:t>
            </w:r>
            <w:r w:rsidR="007215DB" w:rsidRP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Lernmethode</w:t>
            </w:r>
          </w:p>
        </w:tc>
        <w:tc>
          <w:tcPr>
            <w:tcW w:w="2834" w:type="dxa"/>
          </w:tcPr>
          <w:p w14:paraId="310FAB2E" w14:textId="77777777" w:rsidR="007215DB" w:rsidRPr="00AC6CF1" w:rsidRDefault="007215DB" w:rsidP="0076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Anmerkungen</w:t>
            </w:r>
          </w:p>
        </w:tc>
      </w:tr>
      <w:tr w:rsidR="00A519E5" w:rsidRPr="00DC53FA" w14:paraId="152124C7" w14:textId="77777777">
        <w:tc>
          <w:tcPr>
            <w:tcW w:w="4786" w:type="dxa"/>
            <w:shd w:val="clear" w:color="auto" w:fill="D9D9D9"/>
          </w:tcPr>
          <w:p w14:paraId="06990F3E" w14:textId="77777777" w:rsidR="00A519E5" w:rsidRDefault="00A519E5" w:rsidP="0053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THEMA Präsentationstechnik im IT-Bereich</w:t>
            </w:r>
          </w:p>
          <w:p w14:paraId="38EA62FD" w14:textId="77777777" w:rsidR="00A519E5" w:rsidRDefault="00A519E5" w:rsidP="00A519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Struktur</w:t>
            </w:r>
          </w:p>
          <w:p w14:paraId="12E456DC" w14:textId="77777777" w:rsidR="00A519E5" w:rsidRPr="00A2690C" w:rsidRDefault="00A519E5" w:rsidP="00A519E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Spezifische Redemittel</w:t>
            </w:r>
          </w:p>
        </w:tc>
        <w:tc>
          <w:tcPr>
            <w:tcW w:w="3062" w:type="dxa"/>
            <w:vMerge w:val="restart"/>
          </w:tcPr>
          <w:p w14:paraId="5CE4EC52" w14:textId="77777777" w:rsidR="00A519E5" w:rsidRDefault="00A519E5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Übungen zum kontrollierten Sprechen</w:t>
            </w:r>
          </w:p>
          <w:p w14:paraId="554ADAAF" w14:textId="77777777" w:rsidR="00A519E5" w:rsidRDefault="00A519E5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Übungen zur Entwicklung der Kompetenz Sprechen</w:t>
            </w:r>
          </w:p>
          <w:p w14:paraId="33B43DB2" w14:textId="77777777" w:rsidR="00A519E5" w:rsidRDefault="00A519E5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Analyse von Texten und Diskursen, die für den IT-Bereich spezifisch sind</w:t>
            </w:r>
          </w:p>
          <w:p w14:paraId="24AFB281" w14:textId="77777777" w:rsidR="00A519E5" w:rsidRDefault="00A519E5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Rollenspiele</w:t>
            </w:r>
          </w:p>
          <w:p w14:paraId="035FB45E" w14:textId="77777777" w:rsidR="00A519E5" w:rsidRDefault="00A519E5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Simulationen von Kommunikationskontexten, die für den IT-Bereich spezifisch sind</w:t>
            </w:r>
          </w:p>
          <w:p w14:paraId="099721CA" w14:textId="77777777" w:rsidR="00A519E5" w:rsidRPr="00DC53FA" w:rsidRDefault="00A519E5" w:rsidP="00DC5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Analyse von Videosequenzen aus der Sicht angewandter sprachlichen Strukturen und Kommunikationsstrategien  </w:t>
            </w:r>
          </w:p>
        </w:tc>
        <w:tc>
          <w:tcPr>
            <w:tcW w:w="2834" w:type="dxa"/>
          </w:tcPr>
          <w:p w14:paraId="05F7F93C" w14:textId="77777777" w:rsidR="00A519E5" w:rsidRPr="00DC53FA" w:rsidRDefault="00A519E5" w:rsidP="00DC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2 Stunden Seminar </w:t>
            </w:r>
          </w:p>
        </w:tc>
      </w:tr>
      <w:tr w:rsidR="00A519E5" w:rsidRPr="00A519E5" w14:paraId="37E7A1FE" w14:textId="77777777">
        <w:tc>
          <w:tcPr>
            <w:tcW w:w="4786" w:type="dxa"/>
            <w:shd w:val="clear" w:color="auto" w:fill="D9D9D9"/>
          </w:tcPr>
          <w:p w14:paraId="338C9FB0" w14:textId="77777777" w:rsidR="00A519E5" w:rsidRDefault="00A519E5" w:rsidP="0053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THEMA Projektpräsentation</w:t>
            </w:r>
          </w:p>
          <w:p w14:paraId="34D70206" w14:textId="77777777" w:rsidR="00A519E5" w:rsidRDefault="00A519E5" w:rsidP="00A519E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Struktur</w:t>
            </w:r>
          </w:p>
          <w:p w14:paraId="377566EA" w14:textId="77777777" w:rsidR="00A519E5" w:rsidRPr="00BD25E8" w:rsidRDefault="00A519E5" w:rsidP="00A519E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Spezifische Redemittel</w:t>
            </w:r>
          </w:p>
        </w:tc>
        <w:tc>
          <w:tcPr>
            <w:tcW w:w="3062" w:type="dxa"/>
            <w:vMerge/>
          </w:tcPr>
          <w:p w14:paraId="2DF9E478" w14:textId="77777777" w:rsidR="00A519E5" w:rsidRPr="00A519E5" w:rsidRDefault="00A519E5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834" w:type="dxa"/>
          </w:tcPr>
          <w:p w14:paraId="66BE91AE" w14:textId="77777777" w:rsidR="00A519E5" w:rsidRPr="00A519E5" w:rsidRDefault="00A519E5" w:rsidP="00DC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19E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 Stunden Seminar </w:t>
            </w:r>
          </w:p>
        </w:tc>
      </w:tr>
      <w:tr w:rsidR="00A519E5" w:rsidRPr="00AC6CF1" w14:paraId="29F433E4" w14:textId="77777777" w:rsidTr="00EC4D19">
        <w:trPr>
          <w:trHeight w:val="862"/>
        </w:trPr>
        <w:tc>
          <w:tcPr>
            <w:tcW w:w="4786" w:type="dxa"/>
            <w:shd w:val="clear" w:color="auto" w:fill="D9D9D9"/>
          </w:tcPr>
          <w:p w14:paraId="4C3E68AF" w14:textId="77777777" w:rsidR="00A519E5" w:rsidRDefault="00A519E5" w:rsidP="0053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THEMA Portofoliopräsentation</w:t>
            </w:r>
          </w:p>
          <w:p w14:paraId="1142F27F" w14:textId="77777777" w:rsidR="00A519E5" w:rsidRDefault="00A519E5" w:rsidP="00A519E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Struktur</w:t>
            </w:r>
          </w:p>
          <w:p w14:paraId="505D9B59" w14:textId="77777777" w:rsidR="00A519E5" w:rsidRPr="00BD25E8" w:rsidRDefault="00A519E5" w:rsidP="00A519E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Spezifische Redemittel</w:t>
            </w:r>
          </w:p>
        </w:tc>
        <w:tc>
          <w:tcPr>
            <w:tcW w:w="3062" w:type="dxa"/>
            <w:vMerge/>
          </w:tcPr>
          <w:p w14:paraId="321D7B6D" w14:textId="77777777" w:rsidR="00A519E5" w:rsidRPr="00AC6CF1" w:rsidRDefault="00A519E5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4" w:type="dxa"/>
          </w:tcPr>
          <w:p w14:paraId="3014D320" w14:textId="77777777" w:rsidR="00A519E5" w:rsidRPr="00AC6CF1" w:rsidRDefault="00A519E5" w:rsidP="00DC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 Stunden Seminar </w:t>
            </w:r>
          </w:p>
        </w:tc>
      </w:tr>
      <w:tr w:rsidR="00904CA7" w:rsidRPr="00AC6CF1" w14:paraId="4CFD9D64" w14:textId="77777777">
        <w:tc>
          <w:tcPr>
            <w:tcW w:w="10682" w:type="dxa"/>
            <w:gridSpan w:val="3"/>
            <w:shd w:val="clear" w:color="auto" w:fill="D9D9D9"/>
          </w:tcPr>
          <w:p w14:paraId="18776D53" w14:textId="77777777" w:rsidR="00904CA7" w:rsidRPr="008C2821" w:rsidRDefault="00904CA7" w:rsidP="00721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C282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Literatur</w:t>
            </w:r>
            <w:r w:rsidR="008C282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8C282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ab/>
            </w:r>
          </w:p>
          <w:p w14:paraId="1C9D2674" w14:textId="77777777" w:rsidR="0095661D" w:rsidRDefault="0095661D" w:rsidP="0095661D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  <w:r w:rsidRPr="00E2209A">
              <w:rPr>
                <w:rStyle w:val="autoren"/>
                <w:rFonts w:ascii="Times New Roman" w:hAnsi="Times New Roman"/>
                <w:color w:val="333333"/>
                <w:spacing w:val="2"/>
                <w:sz w:val="24"/>
                <w:szCs w:val="24"/>
                <w:shd w:val="clear" w:color="auto" w:fill="D9D9D9"/>
                <w:lang w:val="de-DE"/>
              </w:rPr>
              <w:t xml:space="preserve">Rohrer, H. H., Schmidt, C., </w:t>
            </w:r>
            <w:r w:rsidRPr="00E2209A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shd w:val="clear" w:color="auto" w:fill="D9D9D9"/>
                <w:lang w:val="de-DE"/>
              </w:rPr>
              <w:t>Kommunizieren</w:t>
            </w:r>
            <w:r w:rsidRPr="00917D5F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de-DE"/>
              </w:rPr>
              <w:t xml:space="preserve"> im Beruf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de-DE"/>
              </w:rPr>
              <w:t xml:space="preserve">. </w:t>
            </w:r>
            <w:r w:rsidRPr="00917D5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1000 nützliche Redewendungen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, Lehr- und Arbeitsbuch, Stuttgart: Ernst Klett Sprachenverlag, 2016</w:t>
            </w:r>
          </w:p>
          <w:p w14:paraId="53D8FE71" w14:textId="77777777" w:rsidR="0095661D" w:rsidRDefault="0095661D" w:rsidP="0095661D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DUDEN – Reden halten leicht gemacht, Mannheim: Bibliographisches Institut &amp; FA Brockhaus, 2007</w:t>
            </w:r>
          </w:p>
          <w:p w14:paraId="46A607C6" w14:textId="77777777" w:rsidR="0095661D" w:rsidRDefault="0095661D" w:rsidP="00956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DUDEN – Professionelles Bewerben leicht gemacht, Mannheim: Bibliographisches Institut &amp; FA Brockhaus, 2007</w:t>
            </w:r>
          </w:p>
          <w:p w14:paraId="6A84FEC9" w14:textId="77777777" w:rsidR="0095661D" w:rsidRPr="00A2690C" w:rsidRDefault="0095661D" w:rsidP="00956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Namuth, Kerstin, Lüthi, Thomas, 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Gesprächstraining – Deutsch für den Beruf. Ein Trainingsprogramm für Deutsch als Fremdsprache,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Ismaning: Hüber Verlag, 2000</w:t>
            </w:r>
          </w:p>
          <w:p w14:paraId="0B2F4648" w14:textId="77777777" w:rsidR="0095661D" w:rsidRDefault="0095661D" w:rsidP="00956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Ternes, Doris, 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Kommunikation – eine Schlüßelqualifikation.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Einführung zu wesentlichen Bereichen zwischenmenschlicher Kommunikation, Paderborn: Junfermann, 2008</w:t>
            </w:r>
          </w:p>
          <w:p w14:paraId="2FA7E2CB" w14:textId="77777777" w:rsidR="0095661D" w:rsidRDefault="0095661D" w:rsidP="009566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Murdsheva, Stanka, Mantcheva, Krassimira, Informatik. Deu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tsch als Fremdsprache. Informatik für die Hochschule, Niveaustufe: B2-C1, 2011, online verfügbar unter: </w:t>
            </w: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www.ideal4p-projekt.de</w:t>
              </w:r>
            </w:hyperlink>
          </w:p>
          <w:p w14:paraId="1E0BFD35" w14:textId="56B446C8" w:rsidR="00904CA7" w:rsidRPr="00AC6CF1" w:rsidRDefault="0095661D" w:rsidP="0095661D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Murdsheva, Stanka, Mantcheva, Krassimira, Informatik. Deu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tsch las Fremdsprache. Informatik für die Computer- / IT-Schule, Niveaustufe: B1-B2, 2011, online verfügbar unter: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www.ideal4p-projekt.de</w:t>
              </w:r>
            </w:hyperlink>
          </w:p>
        </w:tc>
      </w:tr>
    </w:tbl>
    <w:p w14:paraId="388BD594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678D56D8" w14:textId="77777777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9. </w:t>
      </w:r>
      <w:r w:rsidR="00E23BFB">
        <w:rPr>
          <w:rFonts w:ascii="Times New Roman" w:hAnsi="Times New Roman" w:cs="Times New Roman"/>
          <w:b/>
          <w:bCs/>
          <w:sz w:val="24"/>
          <w:szCs w:val="24"/>
          <w:lang w:val="de-DE"/>
        </w:rPr>
        <w:t>Verbindung der Inhalte mit den Erwartungen der Wissensgemeinschaft, der Berufsverbände und der für den Fachbereich repräsentativen Arbeitgeber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532022" w:rsidRPr="00AC6CF1" w14:paraId="058B157D" w14:textId="77777777">
        <w:tc>
          <w:tcPr>
            <w:tcW w:w="10682" w:type="dxa"/>
          </w:tcPr>
          <w:p w14:paraId="344992A2" w14:textId="77777777" w:rsidR="00532022" w:rsidRPr="003C6830" w:rsidRDefault="00532022" w:rsidP="00F76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2E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Lehrveranstaltung erzielt die Aneignung von Kenntnissen und Entwicklung von Kommunikationskompetenzen in deutscher IT-Fachsprache, die die Integration der Studenten auf dem Arbeitsmarkt erleichtern, angesichts der Tatsache, dass der aktuelle wirtschaftliche Kontext</w:t>
            </w:r>
            <w:r w:rsidR="00F7631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Rumänien</w:t>
            </w:r>
            <w:r w:rsidR="00802E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eine ständige Verbesserung sowohl der schriftlichen als auch der </w:t>
            </w:r>
            <w:r w:rsidR="00F7631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mündlichen </w:t>
            </w:r>
            <w:r w:rsidR="00802E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Kommunikationskompetenz in deutscher Sprache voraussetzt. </w:t>
            </w:r>
          </w:p>
        </w:tc>
      </w:tr>
    </w:tbl>
    <w:p w14:paraId="43C41E92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55D5AFCA" w14:textId="77777777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10. </w:t>
      </w:r>
      <w:r w:rsidR="00E23BFB">
        <w:rPr>
          <w:rFonts w:ascii="Times New Roman" w:hAnsi="Times New Roman" w:cs="Times New Roman"/>
          <w:b/>
          <w:bCs/>
          <w:sz w:val="24"/>
          <w:szCs w:val="24"/>
          <w:lang w:val="de-DE"/>
        </w:rPr>
        <w:t>Prüfungsform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2828"/>
        <w:gridCol w:w="2967"/>
        <w:gridCol w:w="2217"/>
      </w:tblGrid>
      <w:tr w:rsidR="00532022" w:rsidRPr="00AC6CF1" w14:paraId="7B259BFB" w14:textId="77777777">
        <w:tc>
          <w:tcPr>
            <w:tcW w:w="2670" w:type="dxa"/>
          </w:tcPr>
          <w:p w14:paraId="01C5AFAE" w14:textId="77777777" w:rsidR="00532022" w:rsidRPr="00AC6CF1" w:rsidRDefault="00E23BFB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Veranstaltungsart</w:t>
            </w:r>
          </w:p>
        </w:tc>
        <w:tc>
          <w:tcPr>
            <w:tcW w:w="2828" w:type="dxa"/>
            <w:shd w:val="clear" w:color="auto" w:fill="D9D9D9"/>
          </w:tcPr>
          <w:p w14:paraId="17F14AC7" w14:textId="77777777" w:rsidR="00532022" w:rsidRPr="00AC6CF1" w:rsidRDefault="00532022" w:rsidP="00450A21">
            <w:pPr>
              <w:spacing w:after="0" w:line="240" w:lineRule="auto"/>
              <w:ind w:left="46" w:right="-15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10.1 </w:t>
            </w:r>
            <w:r w:rsidR="00E23BFB" w:rsidRP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Evaluationskriterien</w:t>
            </w:r>
          </w:p>
        </w:tc>
        <w:tc>
          <w:tcPr>
            <w:tcW w:w="2967" w:type="dxa"/>
          </w:tcPr>
          <w:p w14:paraId="1ECE805A" w14:textId="77777777" w:rsidR="00532022" w:rsidRPr="00AC6CF1" w:rsidRDefault="00532022" w:rsidP="00E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10.2 </w:t>
            </w:r>
            <w:r w:rsid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Evaluationsmethoden</w:t>
            </w:r>
          </w:p>
        </w:tc>
        <w:tc>
          <w:tcPr>
            <w:tcW w:w="2217" w:type="dxa"/>
          </w:tcPr>
          <w:p w14:paraId="731EAED2" w14:textId="77777777" w:rsidR="00532022" w:rsidRPr="00AC6CF1" w:rsidRDefault="00532022" w:rsidP="00E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10.3 </w:t>
            </w:r>
            <w:r w:rsid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Anteil an </w:t>
            </w:r>
            <w:r w:rsidR="00761A1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der </w:t>
            </w:r>
            <w:r w:rsid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Gesamtnote</w:t>
            </w:r>
          </w:p>
        </w:tc>
      </w:tr>
      <w:tr w:rsidR="00532022" w:rsidRPr="00AC6CF1" w14:paraId="39EF33DB" w14:textId="77777777">
        <w:trPr>
          <w:trHeight w:val="135"/>
        </w:trPr>
        <w:tc>
          <w:tcPr>
            <w:tcW w:w="2670" w:type="dxa"/>
            <w:vMerge w:val="restart"/>
          </w:tcPr>
          <w:p w14:paraId="6CDDE963" w14:textId="77777777" w:rsidR="00532022" w:rsidRPr="00AC6CF1" w:rsidRDefault="00532022" w:rsidP="00E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10.4 </w:t>
            </w:r>
            <w:r w:rsid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Vorlesung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828" w:type="dxa"/>
            <w:shd w:val="clear" w:color="auto" w:fill="D9D9D9"/>
          </w:tcPr>
          <w:p w14:paraId="184F68E3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67" w:type="dxa"/>
          </w:tcPr>
          <w:p w14:paraId="397791ED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17" w:type="dxa"/>
          </w:tcPr>
          <w:p w14:paraId="3B25F32F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32022" w:rsidRPr="00AC6CF1" w14:paraId="616B28B8" w14:textId="77777777">
        <w:trPr>
          <w:trHeight w:val="135"/>
        </w:trPr>
        <w:tc>
          <w:tcPr>
            <w:tcW w:w="2670" w:type="dxa"/>
            <w:vMerge/>
          </w:tcPr>
          <w:p w14:paraId="28A533F9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28" w:type="dxa"/>
            <w:shd w:val="clear" w:color="auto" w:fill="D9D9D9"/>
          </w:tcPr>
          <w:p w14:paraId="64C7A202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67" w:type="dxa"/>
          </w:tcPr>
          <w:p w14:paraId="599F1CAA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17" w:type="dxa"/>
          </w:tcPr>
          <w:p w14:paraId="481B7BDA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02EAB" w:rsidRPr="00802EAB" w14:paraId="4C3FBC30" w14:textId="77777777">
        <w:trPr>
          <w:trHeight w:val="135"/>
        </w:trPr>
        <w:tc>
          <w:tcPr>
            <w:tcW w:w="2670" w:type="dxa"/>
          </w:tcPr>
          <w:p w14:paraId="67060278" w14:textId="77777777" w:rsidR="00802EAB" w:rsidRPr="00AC6CF1" w:rsidRDefault="00802EAB" w:rsidP="00E23BFB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10.5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Seminar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Übung</w:t>
            </w:r>
          </w:p>
        </w:tc>
        <w:tc>
          <w:tcPr>
            <w:tcW w:w="2828" w:type="dxa"/>
            <w:shd w:val="clear" w:color="auto" w:fill="D9D9D9"/>
          </w:tcPr>
          <w:p w14:paraId="6C999773" w14:textId="77777777" w:rsidR="0075637D" w:rsidRDefault="0075637D" w:rsidP="0075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Umfang und Variation der sprachlichen Redemittel</w:t>
            </w:r>
          </w:p>
          <w:p w14:paraId="5B53F928" w14:textId="77777777" w:rsidR="0075637D" w:rsidRDefault="0075637D" w:rsidP="0075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Korrektheit</w:t>
            </w:r>
          </w:p>
          <w:p w14:paraId="3F8A6067" w14:textId="77777777" w:rsidR="0075637D" w:rsidRDefault="0075637D" w:rsidP="0075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üßigkeit</w:t>
            </w:r>
          </w:p>
          <w:p w14:paraId="3AA12656" w14:textId="77777777" w:rsidR="0075637D" w:rsidRDefault="0075637D" w:rsidP="00756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Interaktion</w:t>
            </w:r>
          </w:p>
          <w:p w14:paraId="53487FB1" w14:textId="77777777" w:rsidR="00802EAB" w:rsidRPr="00802EAB" w:rsidRDefault="0075637D" w:rsidP="00756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Kohärenz</w:t>
            </w:r>
          </w:p>
        </w:tc>
        <w:tc>
          <w:tcPr>
            <w:tcW w:w="2967" w:type="dxa"/>
          </w:tcPr>
          <w:p w14:paraId="1F5789F6" w14:textId="77777777" w:rsidR="00802EAB" w:rsidRPr="008756E3" w:rsidRDefault="00F756A6" w:rsidP="0008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Mündliche P</w:t>
            </w:r>
            <w:r w:rsidR="00DC7E52">
              <w:rPr>
                <w:rFonts w:ascii="Times New Roman" w:hAnsi="Times New Roman" w:cs="Times New Roman"/>
                <w:sz w:val="20"/>
                <w:szCs w:val="20"/>
              </w:rPr>
              <w:t>rüfung</w:t>
            </w:r>
          </w:p>
        </w:tc>
        <w:tc>
          <w:tcPr>
            <w:tcW w:w="2217" w:type="dxa"/>
          </w:tcPr>
          <w:p w14:paraId="7C5461FA" w14:textId="77777777" w:rsidR="00802EAB" w:rsidRPr="008756E3" w:rsidRDefault="00DC7E52" w:rsidP="0008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02EAB" w:rsidRPr="00AC6CF1" w14:paraId="1E3669AB" w14:textId="77777777">
        <w:tc>
          <w:tcPr>
            <w:tcW w:w="10682" w:type="dxa"/>
            <w:gridSpan w:val="4"/>
          </w:tcPr>
          <w:p w14:paraId="44236DC1" w14:textId="77777777" w:rsidR="00802EAB" w:rsidRPr="00AC6CF1" w:rsidRDefault="00802EAB" w:rsidP="00E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10.6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Minimale Leistungsstandards</w:t>
            </w:r>
          </w:p>
        </w:tc>
      </w:tr>
      <w:tr w:rsidR="00802EAB" w:rsidRPr="00F7631A" w14:paraId="7228835C" w14:textId="77777777">
        <w:tc>
          <w:tcPr>
            <w:tcW w:w="10682" w:type="dxa"/>
            <w:gridSpan w:val="4"/>
          </w:tcPr>
          <w:p w14:paraId="288095D2" w14:textId="77777777" w:rsidR="00E219A9" w:rsidRPr="00F7631A" w:rsidRDefault="00E219A9" w:rsidP="00E219A9">
            <w:pPr>
              <w:pStyle w:val="Default"/>
              <w:numPr>
                <w:ilvl w:val="0"/>
                <w:numId w:val="15"/>
              </w:numPr>
              <w:jc w:val="both"/>
              <w:rPr>
                <w:lang w:val="de-DE"/>
              </w:rPr>
            </w:pPr>
            <w:r w:rsidRPr="00F7631A">
              <w:rPr>
                <w:lang w:val="de-DE"/>
              </w:rPr>
              <w:t xml:space="preserve">Um diese Lehrveranstaltung zu bestehen, </w:t>
            </w:r>
            <w:r>
              <w:rPr>
                <w:lang w:val="de-DE"/>
              </w:rPr>
              <w:t xml:space="preserve">muss </w:t>
            </w:r>
            <w:r w:rsidRPr="00F7631A">
              <w:rPr>
                <w:lang w:val="de-DE"/>
              </w:rPr>
              <w:t xml:space="preserve">der Student mindestens die Zensur 5 (fünf) </w:t>
            </w:r>
            <w:r>
              <w:rPr>
                <w:lang w:val="de-DE"/>
              </w:rPr>
              <w:t>erteilt bekommen.</w:t>
            </w:r>
          </w:p>
          <w:p w14:paraId="680064D1" w14:textId="77777777" w:rsidR="00802EAB" w:rsidRPr="00F7631A" w:rsidRDefault="00E219A9" w:rsidP="00E219A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631A">
              <w:rPr>
                <w:rFonts w:ascii="Times New Roman" w:hAnsi="Times New Roman" w:cs="Times New Roman"/>
              </w:rPr>
              <w:lastRenderedPageBreak/>
              <w:t xml:space="preserve">Die </w:t>
            </w:r>
            <w:r>
              <w:rPr>
                <w:rFonts w:ascii="Times New Roman" w:hAnsi="Times New Roman" w:cs="Times New Roman"/>
              </w:rPr>
              <w:t xml:space="preserve">erteilten </w:t>
            </w:r>
            <w:r w:rsidRPr="00F7631A">
              <w:rPr>
                <w:rFonts w:ascii="Times New Roman" w:hAnsi="Times New Roman" w:cs="Times New Roman"/>
              </w:rPr>
              <w:t xml:space="preserve">Zenzuren </w:t>
            </w:r>
            <w:r>
              <w:rPr>
                <w:rFonts w:ascii="Times New Roman" w:hAnsi="Times New Roman" w:cs="Times New Roman"/>
              </w:rPr>
              <w:t>liegen</w:t>
            </w:r>
            <w:r w:rsidRPr="00F7631A">
              <w:rPr>
                <w:rFonts w:ascii="Times New Roman" w:hAnsi="Times New Roman" w:cs="Times New Roman"/>
              </w:rPr>
              <w:t xml:space="preserve"> zwischen  1 (eins) und 10 (zehn), wobei 10 (zehn) die höchste Zensur in Rumänien ist.</w:t>
            </w:r>
          </w:p>
        </w:tc>
      </w:tr>
    </w:tbl>
    <w:p w14:paraId="17444DAC" w14:textId="77777777" w:rsidR="00532022" w:rsidRPr="00AC6CF1" w:rsidRDefault="00E23BFB" w:rsidP="00FA037A">
      <w:pPr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Ausgefüllt am</w:t>
      </w:r>
      <w:r w:rsidR="00761A1B"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Vorlesungsverantwortlicher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Seminarverantwortlicher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32646CAB" w14:textId="7D2E0BFA" w:rsidR="00532022" w:rsidRPr="00AC6CF1" w:rsidRDefault="00E65DAD" w:rsidP="00FA037A">
      <w:pPr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April 2024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  <w:t>...............................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  <w:t>...................................</w:t>
      </w:r>
    </w:p>
    <w:p w14:paraId="51A9A3E7" w14:textId="77777777" w:rsidR="00532022" w:rsidRPr="00AC6CF1" w:rsidRDefault="00E23BFB" w:rsidP="00FA037A">
      <w:pPr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Genehmigt im Department am: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761A1B">
        <w:rPr>
          <w:rFonts w:ascii="Times New Roman" w:hAnsi="Times New Roman" w:cs="Times New Roman"/>
          <w:sz w:val="24"/>
          <w:szCs w:val="24"/>
          <w:lang w:val="de-DE"/>
        </w:rPr>
        <w:t>Departmentdirektor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7401AF34" w14:textId="77777777" w:rsidR="00532022" w:rsidRPr="00AC6CF1" w:rsidRDefault="00532022" w:rsidP="00FA037A">
      <w:pPr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sz w:val="24"/>
          <w:szCs w:val="24"/>
          <w:lang w:val="de-DE"/>
        </w:rPr>
        <w:t>..........................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  <w:t>..........................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</w:p>
    <w:sectPr w:rsidR="00532022" w:rsidRPr="00AC6CF1" w:rsidSect="00A352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FFFFFFF"/>
    <w:lvl w:ilvl="0">
      <w:numFmt w:val="bullet"/>
      <w:lvlText w:val="•"/>
      <w:lvlJc w:val="left"/>
      <w:pPr>
        <w:tabs>
          <w:tab w:val="num" w:pos="284"/>
        </w:tabs>
        <w:ind w:left="284"/>
      </w:pPr>
      <w:rPr>
        <w:color w:val="000000"/>
        <w:position w:val="0"/>
      </w:rPr>
    </w:lvl>
    <w:lvl w:ilvl="1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2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3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4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5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6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7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8">
      <w:start w:val="1"/>
      <w:numFmt w:val="bullet"/>
      <w:suff w:val="nothing"/>
      <w:lvlText w:val=""/>
      <w:lvlJc w:val="left"/>
      <w:rPr>
        <w:color w:val="000000"/>
        <w:position w:val="0"/>
      </w:rPr>
    </w:lvl>
  </w:abstractNum>
  <w:abstractNum w:abstractNumId="1" w15:restartNumberingAfterBreak="0">
    <w:nsid w:val="019A2F1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91088"/>
    <w:multiLevelType w:val="hybridMultilevel"/>
    <w:tmpl w:val="FFFFFFFF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0A5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BC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C35AE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5058F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63B"/>
    <w:multiLevelType w:val="hybridMultilevel"/>
    <w:tmpl w:val="FFFFFFFF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317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C607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C356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F111F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439"/>
        </w:tabs>
        <w:ind w:left="4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 w:hint="default"/>
      </w:rPr>
    </w:lvl>
  </w:abstractNum>
  <w:abstractNum w:abstractNumId="13" w15:restartNumberingAfterBreak="0">
    <w:nsid w:val="64D758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E0563"/>
    <w:multiLevelType w:val="hybridMultilevel"/>
    <w:tmpl w:val="FFFFFFFF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356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77B650EC"/>
    <w:multiLevelType w:val="hybridMultilevel"/>
    <w:tmpl w:val="FFFFFFFF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3677769">
    <w:abstractNumId w:val="1"/>
  </w:num>
  <w:num w:numId="2" w16cid:durableId="589196627">
    <w:abstractNumId w:val="9"/>
  </w:num>
  <w:num w:numId="3" w16cid:durableId="1640695157">
    <w:abstractNumId w:val="6"/>
  </w:num>
  <w:num w:numId="4" w16cid:durableId="461922975">
    <w:abstractNumId w:val="14"/>
  </w:num>
  <w:num w:numId="5" w16cid:durableId="929316133">
    <w:abstractNumId w:val="10"/>
  </w:num>
  <w:num w:numId="6" w16cid:durableId="19940244">
    <w:abstractNumId w:val="2"/>
  </w:num>
  <w:num w:numId="7" w16cid:durableId="1467895519">
    <w:abstractNumId w:val="3"/>
  </w:num>
  <w:num w:numId="8" w16cid:durableId="326859528">
    <w:abstractNumId w:val="8"/>
  </w:num>
  <w:num w:numId="9" w16cid:durableId="884606252">
    <w:abstractNumId w:val="15"/>
  </w:num>
  <w:num w:numId="10" w16cid:durableId="449670022">
    <w:abstractNumId w:val="13"/>
  </w:num>
  <w:num w:numId="11" w16cid:durableId="1326591996">
    <w:abstractNumId w:val="7"/>
  </w:num>
  <w:num w:numId="12" w16cid:durableId="554582890">
    <w:abstractNumId w:val="5"/>
  </w:num>
  <w:num w:numId="13" w16cid:durableId="1932395093">
    <w:abstractNumId w:val="0"/>
  </w:num>
  <w:num w:numId="14" w16cid:durableId="770857832">
    <w:abstractNumId w:val="12"/>
  </w:num>
  <w:num w:numId="15" w16cid:durableId="4485397">
    <w:abstractNumId w:val="16"/>
  </w:num>
  <w:num w:numId="16" w16cid:durableId="131139272">
    <w:abstractNumId w:val="11"/>
  </w:num>
  <w:num w:numId="17" w16cid:durableId="1514025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F77"/>
    <w:rsid w:val="00060F66"/>
    <w:rsid w:val="0007194F"/>
    <w:rsid w:val="00082744"/>
    <w:rsid w:val="00095D67"/>
    <w:rsid w:val="000A032E"/>
    <w:rsid w:val="00111A56"/>
    <w:rsid w:val="001A0A05"/>
    <w:rsid w:val="001F4035"/>
    <w:rsid w:val="0027455B"/>
    <w:rsid w:val="002812A5"/>
    <w:rsid w:val="00291777"/>
    <w:rsid w:val="002D6CA9"/>
    <w:rsid w:val="0034390B"/>
    <w:rsid w:val="00343DED"/>
    <w:rsid w:val="003806E1"/>
    <w:rsid w:val="003870B5"/>
    <w:rsid w:val="003C6830"/>
    <w:rsid w:val="003E7F77"/>
    <w:rsid w:val="00435D41"/>
    <w:rsid w:val="00450A21"/>
    <w:rsid w:val="004723CC"/>
    <w:rsid w:val="004B7DA7"/>
    <w:rsid w:val="004F0D18"/>
    <w:rsid w:val="00530159"/>
    <w:rsid w:val="00532022"/>
    <w:rsid w:val="0056358C"/>
    <w:rsid w:val="005E4F98"/>
    <w:rsid w:val="00696A5C"/>
    <w:rsid w:val="006B2682"/>
    <w:rsid w:val="006D061F"/>
    <w:rsid w:val="006F4DE9"/>
    <w:rsid w:val="007215DB"/>
    <w:rsid w:val="0075637D"/>
    <w:rsid w:val="00761633"/>
    <w:rsid w:val="00761A1B"/>
    <w:rsid w:val="00782D06"/>
    <w:rsid w:val="007A3DE8"/>
    <w:rsid w:val="007B71A6"/>
    <w:rsid w:val="007B74DB"/>
    <w:rsid w:val="007E4F5F"/>
    <w:rsid w:val="007F43DE"/>
    <w:rsid w:val="00802EAB"/>
    <w:rsid w:val="0083153A"/>
    <w:rsid w:val="008712DB"/>
    <w:rsid w:val="008756E3"/>
    <w:rsid w:val="00897094"/>
    <w:rsid w:val="00897E4F"/>
    <w:rsid w:val="008C2821"/>
    <w:rsid w:val="00904CA7"/>
    <w:rsid w:val="00917D5F"/>
    <w:rsid w:val="0095661D"/>
    <w:rsid w:val="00973DF0"/>
    <w:rsid w:val="009B3B63"/>
    <w:rsid w:val="009F7C41"/>
    <w:rsid w:val="00A2690C"/>
    <w:rsid w:val="00A352F6"/>
    <w:rsid w:val="00A5014E"/>
    <w:rsid w:val="00A519E5"/>
    <w:rsid w:val="00AB18CF"/>
    <w:rsid w:val="00AC6CF1"/>
    <w:rsid w:val="00AF0CFB"/>
    <w:rsid w:val="00B7109F"/>
    <w:rsid w:val="00BD25E8"/>
    <w:rsid w:val="00C1183D"/>
    <w:rsid w:val="00CA17E6"/>
    <w:rsid w:val="00D750A8"/>
    <w:rsid w:val="00DC3696"/>
    <w:rsid w:val="00DC53FA"/>
    <w:rsid w:val="00DC7E52"/>
    <w:rsid w:val="00DE3EF9"/>
    <w:rsid w:val="00E037F6"/>
    <w:rsid w:val="00E219A9"/>
    <w:rsid w:val="00E2209A"/>
    <w:rsid w:val="00E23BFB"/>
    <w:rsid w:val="00E531CE"/>
    <w:rsid w:val="00E65DAD"/>
    <w:rsid w:val="00EC4D19"/>
    <w:rsid w:val="00ED3132"/>
    <w:rsid w:val="00F15C49"/>
    <w:rsid w:val="00F37318"/>
    <w:rsid w:val="00F756A6"/>
    <w:rsid w:val="00F7631A"/>
    <w:rsid w:val="00F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D16AF"/>
  <w14:defaultImageDpi w14:val="0"/>
  <w15:docId w15:val="{EB9E7372-EB01-47C4-8346-3359D699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455B"/>
    <w:pPr>
      <w:spacing w:after="200" w:line="276" w:lineRule="auto"/>
    </w:pPr>
    <w:rPr>
      <w:sz w:val="22"/>
      <w:szCs w:val="22"/>
      <w:lang w:val="ro-RO" w:eastAsia="en-US"/>
    </w:rPr>
  </w:style>
  <w:style w:type="paragraph" w:styleId="berschrift1">
    <w:name w:val="heading 1"/>
    <w:basedOn w:val="Standard"/>
    <w:link w:val="berschrift1Zchn"/>
    <w:uiPriority w:val="99"/>
    <w:qFormat/>
    <w:locked/>
    <w:rsid w:val="00904CA7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3E7F77"/>
    <w:pPr>
      <w:ind w:left="720"/>
    </w:pPr>
  </w:style>
  <w:style w:type="character" w:customStyle="1" w:styleId="berschrift1Zchn">
    <w:name w:val="Überschrift 1 Zchn"/>
    <w:link w:val="berschrift1"/>
    <w:uiPriority w:val="99"/>
    <w:locked/>
    <w:rsid w:val="00904CA7"/>
    <w:rPr>
      <w:rFonts w:cs="Times New Roman"/>
      <w:b/>
      <w:bCs/>
      <w:kern w:val="36"/>
      <w:sz w:val="48"/>
      <w:szCs w:val="48"/>
      <w:lang w:val="en-US" w:eastAsia="en-US"/>
    </w:rPr>
  </w:style>
  <w:style w:type="table" w:styleId="Tabellenraster">
    <w:name w:val="Table Grid"/>
    <w:basedOn w:val="NormaleTabelle"/>
    <w:uiPriority w:val="99"/>
    <w:rsid w:val="003E7F77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ren">
    <w:name w:val="autoren"/>
    <w:rsid w:val="00904CA7"/>
  </w:style>
  <w:style w:type="paragraph" w:customStyle="1" w:styleId="Default">
    <w:name w:val="Default"/>
    <w:uiPriority w:val="99"/>
    <w:rsid w:val="00F7631A"/>
    <w:pPr>
      <w:widowControl w:val="0"/>
    </w:pPr>
    <w:rPr>
      <w:rFonts w:ascii="Times New Roman" w:eastAsia="ヒラギノ角ゴ Pro W3" w:hAnsi="Times New Roman" w:cs="Times New Roman"/>
      <w:color w:val="000000"/>
      <w:sz w:val="24"/>
      <w:szCs w:val="24"/>
      <w:lang w:val="en-AU" w:eastAsia="en-US"/>
    </w:rPr>
  </w:style>
  <w:style w:type="character" w:styleId="Hyperlink">
    <w:name w:val="Hyperlink"/>
    <w:uiPriority w:val="99"/>
    <w:rsid w:val="00956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4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eal4p-projekt.d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ideal4p-projekt.d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33FDD1-4F55-4671-9F06-EA3CF4E07625}"/>
</file>

<file path=customXml/itemProps2.xml><?xml version="1.0" encoding="utf-8"?>
<ds:datastoreItem xmlns:ds="http://schemas.openxmlformats.org/officeDocument/2006/customXml" ds:itemID="{63872A66-65C2-4C49-8BFD-E7D80130814F}"/>
</file>

<file path=customXml/itemProps3.xml><?xml version="1.0" encoding="utf-8"?>
<ds:datastoreItem xmlns:ds="http://schemas.openxmlformats.org/officeDocument/2006/customXml" ds:itemID="{FF604B39-CDE6-449B-876D-E06E00527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6445</Characters>
  <Application>Microsoft Office Word</Application>
  <DocSecurity>0</DocSecurity>
  <Lines>53</Lines>
  <Paragraphs>14</Paragraphs>
  <ScaleCrop>false</ScaleCrop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ADATLAPJA</dc:title>
  <dc:subject/>
  <dc:creator>Robu</dc:creator>
  <cp:keywords/>
  <dc:description/>
  <cp:lastModifiedBy>Maria Parasca</cp:lastModifiedBy>
  <cp:revision>4</cp:revision>
  <cp:lastPrinted>2012-06-29T10:42:00Z</cp:lastPrinted>
  <dcterms:created xsi:type="dcterms:W3CDTF">2025-01-10T11:05:00Z</dcterms:created>
  <dcterms:modified xsi:type="dcterms:W3CDTF">2025-01-10T11:20:00Z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